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FF4E9" w14:textId="5C095B6A" w:rsidR="008F1364" w:rsidRDefault="00EE69EB" w:rsidP="001E1E3A">
      <w:pPr>
        <w:jc w:val="center"/>
      </w:pPr>
      <w:r>
        <w:rPr>
          <w:noProof/>
        </w:rPr>
        <w:drawing>
          <wp:inline distT="0" distB="0" distL="0" distR="0" wp14:anchorId="146E23E1" wp14:editId="606330C0">
            <wp:extent cx="1926590" cy="14446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6590" cy="1444625"/>
                    </a:xfrm>
                    <a:prstGeom prst="rect">
                      <a:avLst/>
                    </a:prstGeom>
                    <a:noFill/>
                  </pic:spPr>
                </pic:pic>
              </a:graphicData>
            </a:graphic>
          </wp:inline>
        </w:drawing>
      </w:r>
    </w:p>
    <w:p w14:paraId="58B3675C" w14:textId="77777777" w:rsidR="00405B83" w:rsidRDefault="00405B83"/>
    <w:p w14:paraId="759110A8" w14:textId="77777777" w:rsidR="00384E96" w:rsidRPr="002A38E8" w:rsidRDefault="00384E96" w:rsidP="00384E96">
      <w:pPr>
        <w:spacing w:after="0" w:line="240" w:lineRule="auto"/>
        <w:jc w:val="center"/>
        <w:rPr>
          <w:sz w:val="24"/>
          <w:szCs w:val="24"/>
        </w:rPr>
      </w:pPr>
      <w:r w:rsidRPr="002A38E8">
        <w:rPr>
          <w:sz w:val="24"/>
          <w:szCs w:val="24"/>
        </w:rPr>
        <w:t>Created for Thoughtful Engagement</w:t>
      </w:r>
    </w:p>
    <w:p w14:paraId="5938EDDF" w14:textId="77777777" w:rsidR="00384E96" w:rsidRPr="002A38E8" w:rsidRDefault="00384E96" w:rsidP="00384E96">
      <w:pPr>
        <w:spacing w:after="0" w:line="240" w:lineRule="auto"/>
        <w:jc w:val="center"/>
        <w:rPr>
          <w:sz w:val="24"/>
          <w:szCs w:val="24"/>
        </w:rPr>
      </w:pPr>
      <w:r>
        <w:rPr>
          <w:sz w:val="24"/>
          <w:szCs w:val="24"/>
        </w:rPr>
        <w:t>May</w:t>
      </w:r>
      <w:r w:rsidRPr="002A38E8">
        <w:rPr>
          <w:sz w:val="24"/>
          <w:szCs w:val="24"/>
        </w:rPr>
        <w:t xml:space="preserve"> 2021 Blog 1</w:t>
      </w:r>
      <w:r>
        <w:rPr>
          <w:sz w:val="24"/>
          <w:szCs w:val="24"/>
        </w:rPr>
        <w:t>4</w:t>
      </w:r>
    </w:p>
    <w:p w14:paraId="780A7321" w14:textId="77777777" w:rsidR="00384E96" w:rsidRPr="002A38E8" w:rsidRDefault="00384E96" w:rsidP="00384E96">
      <w:pPr>
        <w:spacing w:after="0" w:line="240" w:lineRule="auto"/>
        <w:jc w:val="center"/>
        <w:rPr>
          <w:sz w:val="24"/>
          <w:szCs w:val="24"/>
        </w:rPr>
      </w:pPr>
      <w:r w:rsidRPr="002A38E8">
        <w:rPr>
          <w:sz w:val="24"/>
          <w:szCs w:val="24"/>
        </w:rPr>
        <w:t xml:space="preserve"> By Holly J. Bean, PhD, LCPC, CTRS</w:t>
      </w:r>
    </w:p>
    <w:p w14:paraId="43EFA124" w14:textId="77777777" w:rsidR="00405B83" w:rsidRDefault="00405B83"/>
    <w:p w14:paraId="5B05A822" w14:textId="77777777" w:rsidR="00405B83" w:rsidRPr="003D09F9" w:rsidRDefault="00405B83" w:rsidP="00405B83">
      <w:pPr>
        <w:jc w:val="center"/>
        <w:rPr>
          <w:sz w:val="24"/>
          <w:szCs w:val="24"/>
        </w:rPr>
      </w:pPr>
      <w:r w:rsidRPr="003D09F9">
        <w:rPr>
          <w:sz w:val="24"/>
          <w:szCs w:val="24"/>
        </w:rPr>
        <w:t xml:space="preserve">Building a Trusting Relationship </w:t>
      </w:r>
      <w:r w:rsidR="006A5BC3">
        <w:rPr>
          <w:sz w:val="24"/>
          <w:szCs w:val="24"/>
        </w:rPr>
        <w:t>with Clients</w:t>
      </w:r>
    </w:p>
    <w:p w14:paraId="03101A30" w14:textId="77777777" w:rsidR="00405B83" w:rsidRPr="006963BD" w:rsidRDefault="00A81913" w:rsidP="00A81913">
      <w:pPr>
        <w:rPr>
          <w:sz w:val="24"/>
          <w:szCs w:val="24"/>
        </w:rPr>
      </w:pPr>
      <w:r w:rsidRPr="006963BD">
        <w:rPr>
          <w:sz w:val="24"/>
          <w:szCs w:val="24"/>
        </w:rPr>
        <w:t xml:space="preserve">A Thoughtful Engagement Specialist </w:t>
      </w:r>
      <w:r w:rsidRPr="006963BD">
        <w:rPr>
          <w:rFonts w:cstheme="minorHAnsi"/>
          <w:sz w:val="24"/>
          <w:szCs w:val="24"/>
        </w:rPr>
        <w:t>®</w:t>
      </w:r>
      <w:r w:rsidRPr="006963BD">
        <w:rPr>
          <w:sz w:val="24"/>
          <w:szCs w:val="24"/>
        </w:rPr>
        <w:t xml:space="preserve"> shares this story of building a relationship with an initially reluctant client</w:t>
      </w:r>
      <w:r w:rsidR="00AD4994">
        <w:rPr>
          <w:sz w:val="24"/>
          <w:szCs w:val="24"/>
        </w:rPr>
        <w:t>:</w:t>
      </w:r>
      <w:r w:rsidRPr="006963BD">
        <w:rPr>
          <w:sz w:val="24"/>
          <w:szCs w:val="24"/>
        </w:rPr>
        <w:t xml:space="preserve"> </w:t>
      </w:r>
    </w:p>
    <w:p w14:paraId="1BC96441" w14:textId="77777777" w:rsidR="00A81913" w:rsidRDefault="00A81913" w:rsidP="006963BD">
      <w:pPr>
        <w:ind w:left="720"/>
      </w:pPr>
      <w:r w:rsidRPr="006963BD">
        <w:rPr>
          <w:sz w:val="24"/>
          <w:szCs w:val="24"/>
        </w:rPr>
        <w:t>Our journey began a little rocky, as the client is fiercely independent and has difficulty acceptin</w:t>
      </w:r>
      <w:r w:rsidR="006963BD" w:rsidRPr="006963BD">
        <w:rPr>
          <w:sz w:val="24"/>
          <w:szCs w:val="24"/>
        </w:rPr>
        <w:t xml:space="preserve">g </w:t>
      </w:r>
      <w:r w:rsidR="00577A7F" w:rsidRPr="006963BD">
        <w:rPr>
          <w:sz w:val="24"/>
          <w:szCs w:val="24"/>
        </w:rPr>
        <w:t>a</w:t>
      </w:r>
      <w:r w:rsidRPr="006963BD">
        <w:rPr>
          <w:sz w:val="24"/>
          <w:szCs w:val="24"/>
        </w:rPr>
        <w:t xml:space="preserve">nyone new in her life. </w:t>
      </w:r>
      <w:r w:rsidR="00577A7F" w:rsidRPr="006963BD">
        <w:rPr>
          <w:sz w:val="24"/>
          <w:szCs w:val="24"/>
        </w:rPr>
        <w:t>However, she allowed me to visit her weekly, and as time passed, she became</w:t>
      </w:r>
      <w:r w:rsidR="006963BD" w:rsidRPr="006963BD">
        <w:rPr>
          <w:sz w:val="24"/>
          <w:szCs w:val="24"/>
        </w:rPr>
        <w:t xml:space="preserve"> more comfortable with me.  The client shared her life stories while we walked through the places she once frequented with her friends, family, and the love of her life.  The client described her exciting adventures with her late husband and the challenges she faced while fighting his illness.  The client laughed, smiled, and voiced her fears and her hopes for the future. This experience has not only brought the client tremendous enjoyment, but it has brought the family a sense of serenity.  Our adventure together is not about a single event, rather a totality of time and its meaning for the client.  For instance, walking along the boardwalk at the beach or smelling the roses brings the client a sense of fulfillment to her life.  Although our journey was about building a trusting and sincere relationship, it has also developed into an opportunity for the client to rediscover</w:t>
      </w:r>
      <w:r w:rsidR="006963BD">
        <w:t xml:space="preserve"> herself. </w:t>
      </w:r>
    </w:p>
    <w:p w14:paraId="1817C9AA" w14:textId="77777777" w:rsidR="00993EAD" w:rsidRDefault="00993EAD" w:rsidP="005B4B75">
      <w:pPr>
        <w:ind w:left="720"/>
        <w:jc w:val="center"/>
        <w:rPr>
          <w:sz w:val="24"/>
          <w:szCs w:val="24"/>
        </w:rPr>
      </w:pPr>
      <w:r>
        <w:rPr>
          <w:noProof/>
        </w:rPr>
        <w:drawing>
          <wp:inline distT="0" distB="0" distL="0" distR="0" wp14:anchorId="58521090" wp14:editId="5F5243D8">
            <wp:extent cx="4894513" cy="1859915"/>
            <wp:effectExtent l="0" t="0" r="1905" b="6985"/>
            <wp:docPr id="1" name="Picture 1" descr="Myrtle Beach Boardwalk Attractions | Myrtle Beach Chrysler J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rtle Beach Boardwalk Attractions | Myrtle Beach Chrysler Jee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5741" cy="1864182"/>
                    </a:xfrm>
                    <a:prstGeom prst="rect">
                      <a:avLst/>
                    </a:prstGeom>
                    <a:noFill/>
                    <a:ln>
                      <a:noFill/>
                    </a:ln>
                  </pic:spPr>
                </pic:pic>
              </a:graphicData>
            </a:graphic>
          </wp:inline>
        </w:drawing>
      </w:r>
    </w:p>
    <w:p w14:paraId="63A04424" w14:textId="39A9DF89" w:rsidR="0034680C" w:rsidRDefault="00E97FB0" w:rsidP="00250578">
      <w:pPr>
        <w:rPr>
          <w:rFonts w:cstheme="minorHAnsi"/>
          <w:sz w:val="24"/>
          <w:szCs w:val="24"/>
        </w:rPr>
      </w:pPr>
      <w:r>
        <w:rPr>
          <w:sz w:val="24"/>
          <w:szCs w:val="24"/>
        </w:rPr>
        <w:lastRenderedPageBreak/>
        <w:t xml:space="preserve">This is an excellent example of </w:t>
      </w:r>
      <w:r w:rsidR="00457F57">
        <w:rPr>
          <w:sz w:val="24"/>
          <w:szCs w:val="24"/>
        </w:rPr>
        <w:t xml:space="preserve">the importance of </w:t>
      </w:r>
      <w:r>
        <w:rPr>
          <w:sz w:val="24"/>
          <w:szCs w:val="24"/>
        </w:rPr>
        <w:t>relationship building</w:t>
      </w:r>
      <w:r w:rsidR="00457F57">
        <w:rPr>
          <w:sz w:val="24"/>
          <w:szCs w:val="24"/>
        </w:rPr>
        <w:t xml:space="preserve"> in the work</w:t>
      </w:r>
      <w:r w:rsidR="002E7BB5">
        <w:rPr>
          <w:sz w:val="24"/>
          <w:szCs w:val="24"/>
        </w:rPr>
        <w:t xml:space="preserve"> of the </w:t>
      </w:r>
      <w:r w:rsidR="002E7BB5" w:rsidRPr="006963BD">
        <w:rPr>
          <w:sz w:val="24"/>
          <w:szCs w:val="24"/>
        </w:rPr>
        <w:t>Thoughtful Engagement Specialist</w:t>
      </w:r>
      <w:r w:rsidR="00C9375F">
        <w:rPr>
          <w:sz w:val="24"/>
          <w:szCs w:val="24"/>
        </w:rPr>
        <w:t>s</w:t>
      </w:r>
      <w:r w:rsidR="002E7BB5" w:rsidRPr="006963BD">
        <w:rPr>
          <w:sz w:val="24"/>
          <w:szCs w:val="24"/>
        </w:rPr>
        <w:t xml:space="preserve"> </w:t>
      </w:r>
      <w:r w:rsidR="002E7BB5" w:rsidRPr="006963BD">
        <w:rPr>
          <w:rFonts w:cstheme="minorHAnsi"/>
          <w:sz w:val="24"/>
          <w:szCs w:val="24"/>
        </w:rPr>
        <w:t>®</w:t>
      </w:r>
      <w:r>
        <w:rPr>
          <w:sz w:val="24"/>
          <w:szCs w:val="24"/>
        </w:rPr>
        <w:t xml:space="preserve">.  The </w:t>
      </w:r>
      <w:r w:rsidRPr="006963BD">
        <w:rPr>
          <w:sz w:val="24"/>
          <w:szCs w:val="24"/>
        </w:rPr>
        <w:t xml:space="preserve">Thoughtful Engagement Specialist </w:t>
      </w:r>
      <w:r w:rsidRPr="006963BD">
        <w:rPr>
          <w:rFonts w:cstheme="minorHAnsi"/>
          <w:sz w:val="24"/>
          <w:szCs w:val="24"/>
        </w:rPr>
        <w:t>®</w:t>
      </w:r>
      <w:r>
        <w:rPr>
          <w:rFonts w:cstheme="minorHAnsi"/>
          <w:sz w:val="24"/>
          <w:szCs w:val="24"/>
        </w:rPr>
        <w:t xml:space="preserve"> </w:t>
      </w:r>
      <w:r w:rsidR="003D7E27">
        <w:rPr>
          <w:rFonts w:cstheme="minorHAnsi"/>
          <w:sz w:val="24"/>
          <w:szCs w:val="24"/>
        </w:rPr>
        <w:t xml:space="preserve">is tasked with creating a relationship first and foremost with the client. </w:t>
      </w:r>
      <w:r w:rsidR="00A65E71">
        <w:rPr>
          <w:rFonts w:cstheme="minorHAnsi"/>
          <w:sz w:val="24"/>
          <w:szCs w:val="24"/>
        </w:rPr>
        <w:t xml:space="preserve">This takes precedence over </w:t>
      </w:r>
      <w:r w:rsidR="00D71633">
        <w:rPr>
          <w:rFonts w:cstheme="minorHAnsi"/>
          <w:sz w:val="24"/>
          <w:szCs w:val="24"/>
        </w:rPr>
        <w:t>any planned activity</w:t>
      </w:r>
      <w:r w:rsidR="00A65E71">
        <w:rPr>
          <w:rFonts w:cstheme="minorHAnsi"/>
          <w:sz w:val="24"/>
          <w:szCs w:val="24"/>
        </w:rPr>
        <w:t xml:space="preserve">.  </w:t>
      </w:r>
      <w:r w:rsidR="00801174">
        <w:rPr>
          <w:rFonts w:cstheme="minorHAnsi"/>
          <w:sz w:val="24"/>
          <w:szCs w:val="24"/>
        </w:rPr>
        <w:t>As the activity will not take place if a trust</w:t>
      </w:r>
      <w:r w:rsidR="002E7BB5">
        <w:rPr>
          <w:rFonts w:cstheme="minorHAnsi"/>
          <w:sz w:val="24"/>
          <w:szCs w:val="24"/>
        </w:rPr>
        <w:t>ing</w:t>
      </w:r>
      <w:r w:rsidR="00801174">
        <w:rPr>
          <w:rFonts w:cstheme="minorHAnsi"/>
          <w:sz w:val="24"/>
          <w:szCs w:val="24"/>
        </w:rPr>
        <w:t xml:space="preserve"> and caring relationship has not been created.  </w:t>
      </w:r>
      <w:r w:rsidR="00E44008">
        <w:rPr>
          <w:rFonts w:cstheme="minorHAnsi"/>
          <w:sz w:val="24"/>
          <w:szCs w:val="24"/>
        </w:rPr>
        <w:t xml:space="preserve">Carl Rogers, a humanistic psychologists, speaks of the need to </w:t>
      </w:r>
      <w:r w:rsidR="00E93656" w:rsidRPr="00E93656">
        <w:rPr>
          <w:rFonts w:cstheme="minorHAnsi"/>
          <w:color w:val="000000"/>
          <w:sz w:val="24"/>
          <w:szCs w:val="24"/>
          <w:shd w:val="clear" w:color="auto" w:fill="FFFFFF"/>
        </w:rPr>
        <w:t>be warm, genuine and understanding</w:t>
      </w:r>
      <w:r w:rsidR="002E7BB5">
        <w:rPr>
          <w:rFonts w:cstheme="minorHAnsi"/>
          <w:color w:val="000000"/>
          <w:sz w:val="24"/>
          <w:szCs w:val="24"/>
          <w:shd w:val="clear" w:color="auto" w:fill="FFFFFF"/>
        </w:rPr>
        <w:t xml:space="preserve"> with those we work with</w:t>
      </w:r>
      <w:r w:rsidR="00E93656">
        <w:rPr>
          <w:rFonts w:cstheme="minorHAnsi"/>
          <w:color w:val="000000"/>
          <w:sz w:val="24"/>
          <w:szCs w:val="24"/>
          <w:shd w:val="clear" w:color="auto" w:fill="FFFFFF"/>
        </w:rPr>
        <w:t xml:space="preserve"> (</w:t>
      </w:r>
      <w:r w:rsidR="00EB2997">
        <w:rPr>
          <w:rFonts w:cstheme="minorHAnsi"/>
          <w:color w:val="000000"/>
          <w:sz w:val="24"/>
          <w:szCs w:val="24"/>
          <w:shd w:val="clear" w:color="auto" w:fill="FFFFFF"/>
        </w:rPr>
        <w:t>McLeod, 2019)</w:t>
      </w:r>
      <w:r w:rsidR="00E93656" w:rsidRPr="00E93656">
        <w:rPr>
          <w:rFonts w:cstheme="minorHAnsi"/>
          <w:color w:val="000000"/>
          <w:sz w:val="24"/>
          <w:szCs w:val="24"/>
          <w:shd w:val="clear" w:color="auto" w:fill="FFFFFF"/>
        </w:rPr>
        <w:t>.</w:t>
      </w:r>
      <w:r w:rsidR="005C70E4">
        <w:rPr>
          <w:rFonts w:cstheme="minorHAnsi"/>
          <w:color w:val="000000"/>
          <w:sz w:val="24"/>
          <w:szCs w:val="24"/>
          <w:shd w:val="clear" w:color="auto" w:fill="FFFFFF"/>
        </w:rPr>
        <w:t xml:space="preserve"> </w:t>
      </w:r>
      <w:r w:rsidR="005C70E4" w:rsidRPr="006963BD">
        <w:rPr>
          <w:sz w:val="24"/>
          <w:szCs w:val="24"/>
        </w:rPr>
        <w:t>Thoughtful Engagement Specialist</w:t>
      </w:r>
      <w:r w:rsidR="005C70E4">
        <w:rPr>
          <w:sz w:val="24"/>
          <w:szCs w:val="24"/>
        </w:rPr>
        <w:t>s</w:t>
      </w:r>
      <w:r w:rsidR="005C70E4" w:rsidRPr="006963BD">
        <w:rPr>
          <w:sz w:val="24"/>
          <w:szCs w:val="24"/>
        </w:rPr>
        <w:t xml:space="preserve"> </w:t>
      </w:r>
      <w:r w:rsidR="005C70E4" w:rsidRPr="006963BD">
        <w:rPr>
          <w:rFonts w:cstheme="minorHAnsi"/>
          <w:sz w:val="24"/>
          <w:szCs w:val="24"/>
        </w:rPr>
        <w:t>®</w:t>
      </w:r>
      <w:r w:rsidR="005C70E4">
        <w:rPr>
          <w:rFonts w:cstheme="minorHAnsi"/>
          <w:sz w:val="24"/>
          <w:szCs w:val="24"/>
        </w:rPr>
        <w:t xml:space="preserve"> provide the client with a stabilizing </w:t>
      </w:r>
      <w:r w:rsidR="00141079">
        <w:rPr>
          <w:rFonts w:cstheme="minorHAnsi"/>
          <w:sz w:val="24"/>
          <w:szCs w:val="24"/>
        </w:rPr>
        <w:t>support system</w:t>
      </w:r>
      <w:r w:rsidR="00501818">
        <w:rPr>
          <w:rFonts w:cstheme="minorHAnsi"/>
          <w:sz w:val="24"/>
          <w:szCs w:val="24"/>
        </w:rPr>
        <w:t xml:space="preserve"> and must </w:t>
      </w:r>
      <w:r w:rsidR="00EF685B">
        <w:rPr>
          <w:rFonts w:cstheme="minorHAnsi"/>
          <w:sz w:val="24"/>
          <w:szCs w:val="24"/>
        </w:rPr>
        <w:t xml:space="preserve">possess the characteristic traits of being </w:t>
      </w:r>
      <w:r w:rsidR="00501818">
        <w:rPr>
          <w:rFonts w:cstheme="minorHAnsi"/>
          <w:sz w:val="24"/>
          <w:szCs w:val="24"/>
        </w:rPr>
        <w:t xml:space="preserve">genuine </w:t>
      </w:r>
      <w:r w:rsidR="00EE331B">
        <w:rPr>
          <w:rFonts w:cstheme="minorHAnsi"/>
          <w:sz w:val="24"/>
          <w:szCs w:val="24"/>
        </w:rPr>
        <w:t>and</w:t>
      </w:r>
      <w:r w:rsidR="00E44008">
        <w:rPr>
          <w:rFonts w:cstheme="minorHAnsi"/>
          <w:sz w:val="24"/>
          <w:szCs w:val="24"/>
        </w:rPr>
        <w:t xml:space="preserve"> </w:t>
      </w:r>
      <w:r w:rsidR="001E1E3A">
        <w:rPr>
          <w:rFonts w:cstheme="minorHAnsi"/>
          <w:sz w:val="24"/>
          <w:szCs w:val="24"/>
        </w:rPr>
        <w:t>empathetic</w:t>
      </w:r>
      <w:r w:rsidR="00E44008">
        <w:rPr>
          <w:rFonts w:cstheme="minorHAnsi"/>
          <w:sz w:val="24"/>
          <w:szCs w:val="24"/>
        </w:rPr>
        <w:t xml:space="preserve">.  </w:t>
      </w:r>
    </w:p>
    <w:p w14:paraId="1662FA90" w14:textId="77777777" w:rsidR="007271D2" w:rsidRPr="009D73A4" w:rsidRDefault="0036798E" w:rsidP="007271D2">
      <w:pPr>
        <w:pStyle w:val="NormalWeb"/>
        <w:spacing w:before="0" w:beforeAutospacing="0" w:after="360" w:afterAutospacing="0"/>
        <w:rPr>
          <w:rFonts w:asciiTheme="minorHAnsi" w:hAnsiTheme="minorHAnsi" w:cstheme="minorHAnsi"/>
        </w:rPr>
      </w:pPr>
      <w:r w:rsidRPr="007271D2">
        <w:rPr>
          <w:rFonts w:asciiTheme="minorHAnsi" w:hAnsiTheme="minorHAnsi" w:cstheme="minorHAnsi"/>
        </w:rPr>
        <w:t xml:space="preserve">Brene Brown, </w:t>
      </w:r>
      <w:r w:rsidR="006F58E2">
        <w:rPr>
          <w:rFonts w:asciiTheme="minorHAnsi" w:hAnsiTheme="minorHAnsi" w:cstheme="minorHAnsi"/>
        </w:rPr>
        <w:t>a social worker who studies human behavior,</w:t>
      </w:r>
      <w:r w:rsidRPr="007271D2">
        <w:rPr>
          <w:rFonts w:asciiTheme="minorHAnsi" w:hAnsiTheme="minorHAnsi" w:cstheme="minorHAnsi"/>
        </w:rPr>
        <w:t xml:space="preserve"> </w:t>
      </w:r>
      <w:r w:rsidR="00A766AD">
        <w:rPr>
          <w:rFonts w:asciiTheme="minorHAnsi" w:hAnsiTheme="minorHAnsi" w:cstheme="minorHAnsi"/>
        </w:rPr>
        <w:t>shares</w:t>
      </w:r>
      <w:r w:rsidRPr="007271D2">
        <w:rPr>
          <w:rFonts w:asciiTheme="minorHAnsi" w:hAnsiTheme="minorHAnsi" w:cstheme="minorHAnsi"/>
        </w:rPr>
        <w:t xml:space="preserve"> the difference between sympathy and empathy.  She notes that sympathy is feeling sorry for the person</w:t>
      </w:r>
      <w:r w:rsidR="007271D2" w:rsidRPr="007271D2">
        <w:rPr>
          <w:rFonts w:asciiTheme="minorHAnsi" w:hAnsiTheme="minorHAnsi" w:cstheme="minorHAnsi"/>
        </w:rPr>
        <w:t xml:space="preserve"> and usually starts with a response </w:t>
      </w:r>
      <w:r w:rsidR="00652425">
        <w:rPr>
          <w:rFonts w:asciiTheme="minorHAnsi" w:hAnsiTheme="minorHAnsi" w:cstheme="minorHAnsi"/>
        </w:rPr>
        <w:t>of</w:t>
      </w:r>
      <w:r w:rsidR="007271D2" w:rsidRPr="007271D2">
        <w:rPr>
          <w:rFonts w:asciiTheme="minorHAnsi" w:hAnsiTheme="minorHAnsi" w:cstheme="minorHAnsi"/>
        </w:rPr>
        <w:t xml:space="preserve"> “at least”</w:t>
      </w:r>
      <w:r w:rsidRPr="007271D2">
        <w:rPr>
          <w:rFonts w:asciiTheme="minorHAnsi" w:hAnsiTheme="minorHAnsi" w:cstheme="minorHAnsi"/>
        </w:rPr>
        <w:t xml:space="preserve">, where empathy asks us to join the person.  </w:t>
      </w:r>
      <w:r w:rsidR="00EA545A">
        <w:rPr>
          <w:rFonts w:asciiTheme="minorHAnsi" w:hAnsiTheme="minorHAnsi" w:cstheme="minorHAnsi"/>
        </w:rPr>
        <w:t>The genesis of s</w:t>
      </w:r>
      <w:r w:rsidR="008D335B" w:rsidRPr="007271D2">
        <w:rPr>
          <w:rFonts w:asciiTheme="minorHAnsi" w:hAnsiTheme="minorHAnsi" w:cstheme="minorHAnsi"/>
        </w:rPr>
        <w:t xml:space="preserve">ympathy </w:t>
      </w:r>
      <w:r w:rsidR="00EA545A">
        <w:rPr>
          <w:rFonts w:asciiTheme="minorHAnsi" w:hAnsiTheme="minorHAnsi" w:cstheme="minorHAnsi"/>
        </w:rPr>
        <w:t>is feeling</w:t>
      </w:r>
      <w:r w:rsidR="008D335B" w:rsidRPr="007271D2">
        <w:rPr>
          <w:rFonts w:asciiTheme="minorHAnsi" w:hAnsiTheme="minorHAnsi" w:cstheme="minorHAnsi"/>
        </w:rPr>
        <w:t xml:space="preserve"> uncomfortable and </w:t>
      </w:r>
      <w:r w:rsidR="00652425">
        <w:rPr>
          <w:rFonts w:asciiTheme="minorHAnsi" w:hAnsiTheme="minorHAnsi" w:cstheme="minorHAnsi"/>
        </w:rPr>
        <w:t>drives</w:t>
      </w:r>
      <w:r w:rsidR="008D335B" w:rsidRPr="007271D2">
        <w:rPr>
          <w:rFonts w:asciiTheme="minorHAnsi" w:hAnsiTheme="minorHAnsi" w:cstheme="minorHAnsi"/>
        </w:rPr>
        <w:t xml:space="preserve"> the</w:t>
      </w:r>
      <w:r w:rsidR="000F674E">
        <w:rPr>
          <w:rFonts w:asciiTheme="minorHAnsi" w:hAnsiTheme="minorHAnsi" w:cstheme="minorHAnsi"/>
        </w:rPr>
        <w:t xml:space="preserve"> need </w:t>
      </w:r>
      <w:r w:rsidR="008D335B" w:rsidRPr="007271D2">
        <w:rPr>
          <w:rFonts w:asciiTheme="minorHAnsi" w:hAnsiTheme="minorHAnsi" w:cstheme="minorHAnsi"/>
        </w:rPr>
        <w:t xml:space="preserve">to fix the situation, due to our own uncomfortable feelings.  Empathy gives us the opportunity to join the person.  We are not working to fix their situation, but to just “be” with the person.  </w:t>
      </w:r>
      <w:r w:rsidR="007271D2" w:rsidRPr="009D73A4">
        <w:rPr>
          <w:rFonts w:asciiTheme="minorHAnsi" w:hAnsiTheme="minorHAnsi" w:cstheme="minorHAnsi"/>
        </w:rPr>
        <w:t>Fixing your loved one's problem is often</w:t>
      </w:r>
      <w:r w:rsidR="00F678D6">
        <w:rPr>
          <w:rFonts w:asciiTheme="minorHAnsi" w:hAnsiTheme="minorHAnsi" w:cstheme="minorHAnsi"/>
        </w:rPr>
        <w:t xml:space="preserve"> not</w:t>
      </w:r>
      <w:r w:rsidR="007271D2" w:rsidRPr="009D73A4">
        <w:rPr>
          <w:rFonts w:asciiTheme="minorHAnsi" w:hAnsiTheme="minorHAnsi" w:cstheme="minorHAnsi"/>
        </w:rPr>
        <w:t xml:space="preserve"> what is needed, nor is it necessarily your job or even within your ability to do so. </w:t>
      </w:r>
      <w:r w:rsidR="00427AC6">
        <w:rPr>
          <w:rFonts w:asciiTheme="minorHAnsi" w:hAnsiTheme="minorHAnsi" w:cstheme="minorHAnsi"/>
        </w:rPr>
        <w:t>Providing</w:t>
      </w:r>
      <w:r w:rsidR="007271D2" w:rsidRPr="009D73A4">
        <w:rPr>
          <w:rFonts w:asciiTheme="minorHAnsi" w:hAnsiTheme="minorHAnsi" w:cstheme="minorHAnsi"/>
        </w:rPr>
        <w:t xml:space="preserve"> a listening, caring ear </w:t>
      </w:r>
      <w:r w:rsidR="00063BB1">
        <w:rPr>
          <w:rFonts w:asciiTheme="minorHAnsi" w:hAnsiTheme="minorHAnsi" w:cstheme="minorHAnsi"/>
        </w:rPr>
        <w:t>is</w:t>
      </w:r>
      <w:r w:rsidR="007271D2" w:rsidRPr="009D73A4">
        <w:rPr>
          <w:rFonts w:asciiTheme="minorHAnsi" w:hAnsiTheme="minorHAnsi" w:cstheme="minorHAnsi"/>
        </w:rPr>
        <w:t> something most people can do. When we feel heard, cared about, and understood, we also feel loved, accepted, and as if we belong</w:t>
      </w:r>
      <w:r w:rsidR="00063BB1">
        <w:rPr>
          <w:rFonts w:asciiTheme="minorHAnsi" w:hAnsiTheme="minorHAnsi" w:cstheme="minorHAnsi"/>
        </w:rPr>
        <w:t xml:space="preserve"> (Thi</w:t>
      </w:r>
      <w:r w:rsidR="002605FD">
        <w:rPr>
          <w:rFonts w:asciiTheme="minorHAnsi" w:hAnsiTheme="minorHAnsi" w:cstheme="minorHAnsi"/>
        </w:rPr>
        <w:t>e</w:t>
      </w:r>
      <w:r w:rsidR="00063BB1">
        <w:rPr>
          <w:rFonts w:asciiTheme="minorHAnsi" w:hAnsiTheme="minorHAnsi" w:cstheme="minorHAnsi"/>
        </w:rPr>
        <w:t>da, 2014)</w:t>
      </w:r>
      <w:r w:rsidR="007271D2" w:rsidRPr="009D73A4">
        <w:rPr>
          <w:rFonts w:asciiTheme="minorHAnsi" w:hAnsiTheme="minorHAnsi" w:cstheme="minorHAnsi"/>
        </w:rPr>
        <w:t>.</w:t>
      </w:r>
    </w:p>
    <w:p w14:paraId="6E3325D9" w14:textId="77777777" w:rsidR="00F4376F" w:rsidRDefault="007271D2" w:rsidP="00F4376F">
      <w:pPr>
        <w:spacing w:after="360" w:line="240" w:lineRule="auto"/>
        <w:rPr>
          <w:rFonts w:eastAsia="Times New Roman" w:cstheme="minorHAnsi"/>
          <w:sz w:val="24"/>
          <w:szCs w:val="24"/>
        </w:rPr>
      </w:pPr>
      <w:r w:rsidRPr="007271D2">
        <w:rPr>
          <w:rFonts w:eastAsia="Times New Roman" w:cstheme="minorHAnsi"/>
          <w:sz w:val="24"/>
          <w:szCs w:val="24"/>
        </w:rPr>
        <w:t>In </w:t>
      </w:r>
      <w:r w:rsidRPr="009D73A4">
        <w:rPr>
          <w:rFonts w:eastAsia="Times New Roman" w:cstheme="minorHAnsi"/>
          <w:i/>
          <w:iCs/>
          <w:sz w:val="24"/>
          <w:szCs w:val="24"/>
        </w:rPr>
        <w:t xml:space="preserve">I Thought it Was Just Me (But It </w:t>
      </w:r>
      <w:proofErr w:type="gramStart"/>
      <w:r w:rsidRPr="009D73A4">
        <w:rPr>
          <w:rFonts w:eastAsia="Times New Roman" w:cstheme="minorHAnsi"/>
          <w:i/>
          <w:iCs/>
          <w:sz w:val="24"/>
          <w:szCs w:val="24"/>
        </w:rPr>
        <w:t>Isn't</w:t>
      </w:r>
      <w:proofErr w:type="gramEnd"/>
      <w:r w:rsidRPr="009D73A4">
        <w:rPr>
          <w:rFonts w:eastAsia="Times New Roman" w:cstheme="minorHAnsi"/>
          <w:i/>
          <w:iCs/>
          <w:sz w:val="24"/>
          <w:szCs w:val="24"/>
        </w:rPr>
        <w:t>) </w:t>
      </w:r>
      <w:r w:rsidRPr="007271D2">
        <w:rPr>
          <w:rFonts w:eastAsia="Times New Roman" w:cstheme="minorHAnsi"/>
          <w:sz w:val="24"/>
          <w:szCs w:val="24"/>
        </w:rPr>
        <w:t>(2008), Brown references nursing scholar Theresa Wiseman's four attributes of empathy:</w:t>
      </w:r>
    </w:p>
    <w:p w14:paraId="3B3FF73C" w14:textId="77777777" w:rsidR="007271D2" w:rsidRPr="00F4376F" w:rsidRDefault="007271D2" w:rsidP="00F4376F">
      <w:pPr>
        <w:pStyle w:val="ListParagraph"/>
        <w:numPr>
          <w:ilvl w:val="0"/>
          <w:numId w:val="6"/>
        </w:numPr>
        <w:spacing w:after="360" w:line="240" w:lineRule="auto"/>
        <w:rPr>
          <w:rFonts w:eastAsia="Times New Roman" w:cstheme="minorHAnsi"/>
          <w:sz w:val="24"/>
          <w:szCs w:val="24"/>
        </w:rPr>
      </w:pPr>
      <w:r w:rsidRPr="00F4376F">
        <w:rPr>
          <w:rFonts w:eastAsia="Times New Roman" w:cstheme="minorHAnsi"/>
          <w:sz w:val="24"/>
          <w:szCs w:val="24"/>
        </w:rPr>
        <w:t>To be able to see the world as others see it—This requires putting your own "stuff" aside to see the situation through your loved one's eyes.</w:t>
      </w:r>
    </w:p>
    <w:p w14:paraId="1FFC86F3" w14:textId="77777777" w:rsidR="007271D2" w:rsidRPr="00FC1D08" w:rsidRDefault="007271D2" w:rsidP="00FC1D08">
      <w:pPr>
        <w:pStyle w:val="ListParagraph"/>
        <w:numPr>
          <w:ilvl w:val="0"/>
          <w:numId w:val="6"/>
        </w:numPr>
        <w:spacing w:before="100" w:beforeAutospacing="1" w:after="180" w:line="240" w:lineRule="auto"/>
        <w:rPr>
          <w:rFonts w:eastAsia="Times New Roman" w:cstheme="minorHAnsi"/>
          <w:sz w:val="24"/>
          <w:szCs w:val="24"/>
        </w:rPr>
      </w:pPr>
      <w:r w:rsidRPr="00FC1D08">
        <w:rPr>
          <w:rFonts w:eastAsia="Times New Roman" w:cstheme="minorHAnsi"/>
          <w:sz w:val="24"/>
          <w:szCs w:val="24"/>
        </w:rPr>
        <w:t>To be nonjudgmental—Judgement of another person's situation discounts the experience and is an attempt to protect ourselves from the pain of the situation.</w:t>
      </w:r>
    </w:p>
    <w:p w14:paraId="35D1DD10" w14:textId="77777777" w:rsidR="007271D2" w:rsidRPr="00FC1D08" w:rsidRDefault="007271D2" w:rsidP="00FC1D08">
      <w:pPr>
        <w:pStyle w:val="ListParagraph"/>
        <w:numPr>
          <w:ilvl w:val="0"/>
          <w:numId w:val="6"/>
        </w:numPr>
        <w:spacing w:before="100" w:beforeAutospacing="1" w:after="180" w:line="240" w:lineRule="auto"/>
        <w:rPr>
          <w:rFonts w:eastAsia="Times New Roman" w:cstheme="minorHAnsi"/>
          <w:sz w:val="24"/>
          <w:szCs w:val="24"/>
        </w:rPr>
      </w:pPr>
      <w:r w:rsidRPr="00FC1D08">
        <w:rPr>
          <w:rFonts w:eastAsia="Times New Roman" w:cstheme="minorHAnsi"/>
          <w:sz w:val="24"/>
          <w:szCs w:val="24"/>
        </w:rPr>
        <w:t xml:space="preserve">To understand another person’s feelings—We </w:t>
      </w:r>
      <w:proofErr w:type="gramStart"/>
      <w:r w:rsidRPr="00FC1D08">
        <w:rPr>
          <w:rFonts w:eastAsia="Times New Roman" w:cstheme="minorHAnsi"/>
          <w:sz w:val="24"/>
          <w:szCs w:val="24"/>
        </w:rPr>
        <w:t>have to</w:t>
      </w:r>
      <w:proofErr w:type="gramEnd"/>
      <w:r w:rsidRPr="00FC1D08">
        <w:rPr>
          <w:rFonts w:eastAsia="Times New Roman" w:cstheme="minorHAnsi"/>
          <w:sz w:val="24"/>
          <w:szCs w:val="24"/>
        </w:rPr>
        <w:t xml:space="preserve"> be in touch with our own feelings in order to understand someone else's. Again, this requires putting your own "stuff" aside to focus on your loved one.</w:t>
      </w:r>
    </w:p>
    <w:p w14:paraId="4F1A7EE9" w14:textId="77777777" w:rsidR="0036798E" w:rsidRPr="00E23283" w:rsidRDefault="007271D2" w:rsidP="00D82F15">
      <w:pPr>
        <w:pStyle w:val="ListParagraph"/>
        <w:numPr>
          <w:ilvl w:val="0"/>
          <w:numId w:val="6"/>
        </w:numPr>
        <w:spacing w:before="100" w:beforeAutospacing="1" w:after="180" w:line="240" w:lineRule="auto"/>
        <w:rPr>
          <w:rFonts w:cstheme="minorHAnsi"/>
          <w:sz w:val="24"/>
          <w:szCs w:val="24"/>
        </w:rPr>
      </w:pPr>
      <w:r w:rsidRPr="00E23283">
        <w:rPr>
          <w:rFonts w:eastAsia="Times New Roman" w:cstheme="minorHAnsi"/>
          <w:sz w:val="24"/>
          <w:szCs w:val="24"/>
        </w:rPr>
        <w:t>To communicate your understanding of that person’s feelings—Rather than saying, "At least you..." or "It could be worse..." try, "I've been there, and that really hurts," or (to quote an example from Brown), "It sounds like you are in a hard place now. Tell me more about it.”</w:t>
      </w:r>
      <w:r w:rsidR="009D73A4" w:rsidRPr="00E23283">
        <w:rPr>
          <w:rFonts w:eastAsia="Times New Roman" w:cstheme="minorHAnsi"/>
          <w:sz w:val="24"/>
          <w:szCs w:val="24"/>
        </w:rPr>
        <w:t xml:space="preserve"> (Thi</w:t>
      </w:r>
      <w:r w:rsidR="002605FD">
        <w:rPr>
          <w:rFonts w:eastAsia="Times New Roman" w:cstheme="minorHAnsi"/>
          <w:sz w:val="24"/>
          <w:szCs w:val="24"/>
        </w:rPr>
        <w:t>e</w:t>
      </w:r>
      <w:r w:rsidR="009D73A4" w:rsidRPr="00E23283">
        <w:rPr>
          <w:rFonts w:eastAsia="Times New Roman" w:cstheme="minorHAnsi"/>
          <w:sz w:val="24"/>
          <w:szCs w:val="24"/>
        </w:rPr>
        <w:t>da, 2014</w:t>
      </w:r>
      <w:r w:rsidR="002820AD" w:rsidRPr="00E23283">
        <w:rPr>
          <w:rFonts w:eastAsia="Times New Roman" w:cstheme="minorHAnsi"/>
          <w:sz w:val="24"/>
          <w:szCs w:val="24"/>
        </w:rPr>
        <w:t>, para 5</w:t>
      </w:r>
      <w:r w:rsidR="009D73A4" w:rsidRPr="00E23283">
        <w:rPr>
          <w:rFonts w:eastAsia="Times New Roman" w:cstheme="minorHAnsi"/>
          <w:sz w:val="24"/>
          <w:szCs w:val="24"/>
        </w:rPr>
        <w:t xml:space="preserve">). </w:t>
      </w:r>
    </w:p>
    <w:p w14:paraId="46839127" w14:textId="77777777" w:rsidR="00C86A66" w:rsidRDefault="00801174" w:rsidP="00E74E1F">
      <w:pPr>
        <w:shd w:val="clear" w:color="auto" w:fill="FFFFFF"/>
        <w:spacing w:after="60" w:line="240" w:lineRule="auto"/>
        <w:rPr>
          <w:rFonts w:cstheme="minorHAnsi"/>
          <w:sz w:val="24"/>
          <w:szCs w:val="24"/>
        </w:rPr>
      </w:pPr>
      <w:r w:rsidRPr="00E74E1F">
        <w:rPr>
          <w:rFonts w:cstheme="minorHAnsi"/>
          <w:sz w:val="24"/>
          <w:szCs w:val="24"/>
        </w:rPr>
        <w:t>Alzheimer’s Association</w:t>
      </w:r>
      <w:r w:rsidR="0038580F" w:rsidRPr="00E74E1F">
        <w:rPr>
          <w:rFonts w:cstheme="minorHAnsi"/>
          <w:sz w:val="24"/>
          <w:szCs w:val="24"/>
        </w:rPr>
        <w:t xml:space="preserve"> offers much information </w:t>
      </w:r>
      <w:r w:rsidRPr="00E74E1F">
        <w:rPr>
          <w:rFonts w:cstheme="minorHAnsi"/>
          <w:sz w:val="24"/>
          <w:szCs w:val="24"/>
        </w:rPr>
        <w:t>on how to communicate with elders, especially those who may be displaying disturbing behaviors</w:t>
      </w:r>
      <w:r w:rsidR="0038580F" w:rsidRPr="00E74E1F">
        <w:rPr>
          <w:rFonts w:cstheme="minorHAnsi"/>
          <w:sz w:val="24"/>
          <w:szCs w:val="24"/>
        </w:rPr>
        <w:t xml:space="preserve"> or cognitive decline</w:t>
      </w:r>
      <w:r w:rsidRPr="00E74E1F">
        <w:rPr>
          <w:rFonts w:cstheme="minorHAnsi"/>
          <w:sz w:val="24"/>
          <w:szCs w:val="24"/>
        </w:rPr>
        <w:t xml:space="preserve">. </w:t>
      </w:r>
      <w:r w:rsidR="00C15612" w:rsidRPr="00E74E1F">
        <w:rPr>
          <w:rFonts w:cstheme="minorHAnsi"/>
          <w:sz w:val="24"/>
          <w:szCs w:val="24"/>
        </w:rPr>
        <w:t>Disturbing behaviors have been defined by Buettner and Fiztsimmons as apathetic or a lack of interest or motivation, depression, motor restlessness (making repetitive movements), aggressiveness, verbal aggressiveness, or yelling out (2009).  Other types of disturbing behaviors could include refusing care, sexual in appropriateness, sundowning, etc. (</w:t>
      </w:r>
      <w:r w:rsidR="002605FD">
        <w:rPr>
          <w:rFonts w:cstheme="minorHAnsi"/>
          <w:sz w:val="24"/>
          <w:szCs w:val="24"/>
        </w:rPr>
        <w:t xml:space="preserve">Buettner and Fitzsimmons, </w:t>
      </w:r>
      <w:r w:rsidR="00C15612" w:rsidRPr="00E74E1F">
        <w:rPr>
          <w:rFonts w:cstheme="minorHAnsi"/>
          <w:sz w:val="24"/>
          <w:szCs w:val="24"/>
        </w:rPr>
        <w:t xml:space="preserve">2009).   It is so important to remember that all behavior is communication.  </w:t>
      </w:r>
      <w:r w:rsidRPr="00E74E1F">
        <w:rPr>
          <w:rFonts w:cstheme="minorHAnsi"/>
          <w:sz w:val="24"/>
          <w:szCs w:val="24"/>
        </w:rPr>
        <w:t xml:space="preserve"> </w:t>
      </w:r>
      <w:r w:rsidR="0034680C" w:rsidRPr="00E74E1F">
        <w:rPr>
          <w:rFonts w:cstheme="minorHAnsi"/>
          <w:sz w:val="24"/>
          <w:szCs w:val="24"/>
        </w:rPr>
        <w:t xml:space="preserve">Good clear communication is also a requirement in relationship building.  There are two parts of communication:  speaking and listening.  </w:t>
      </w:r>
      <w:r w:rsidR="00CF2D87" w:rsidRPr="00E74E1F">
        <w:rPr>
          <w:rFonts w:cstheme="minorHAnsi"/>
          <w:sz w:val="24"/>
          <w:szCs w:val="24"/>
        </w:rPr>
        <w:t xml:space="preserve"> </w:t>
      </w:r>
      <w:r w:rsidR="00B45D95" w:rsidRPr="00E74E1F">
        <w:rPr>
          <w:rFonts w:cstheme="minorHAnsi"/>
          <w:sz w:val="24"/>
          <w:szCs w:val="24"/>
        </w:rPr>
        <w:t xml:space="preserve">When working with clients, it is important to understand that both parts are </w:t>
      </w:r>
      <w:r w:rsidR="00B45D95" w:rsidRPr="00E74E1F">
        <w:rPr>
          <w:rFonts w:cstheme="minorHAnsi"/>
          <w:sz w:val="24"/>
          <w:szCs w:val="24"/>
        </w:rPr>
        <w:lastRenderedPageBreak/>
        <w:t>necessary</w:t>
      </w:r>
      <w:r w:rsidR="009A2AFE">
        <w:rPr>
          <w:rFonts w:cstheme="minorHAnsi"/>
          <w:sz w:val="24"/>
          <w:szCs w:val="24"/>
        </w:rPr>
        <w:t>, with listening being a top priority</w:t>
      </w:r>
      <w:r w:rsidR="00B45D95" w:rsidRPr="00E74E1F">
        <w:rPr>
          <w:rFonts w:cstheme="minorHAnsi"/>
          <w:sz w:val="24"/>
          <w:szCs w:val="24"/>
        </w:rPr>
        <w:t>.  Alzheimer’s Association off</w:t>
      </w:r>
      <w:r w:rsidR="0055455B">
        <w:rPr>
          <w:rFonts w:cstheme="minorHAnsi"/>
          <w:sz w:val="24"/>
          <w:szCs w:val="24"/>
        </w:rPr>
        <w:t xml:space="preserve">ers tips on good communication.  Although geared towards those with cognitive decline, these tips are for everyone, </w:t>
      </w:r>
      <w:r w:rsidR="00B45D95" w:rsidRPr="00E74E1F">
        <w:rPr>
          <w:rFonts w:cstheme="minorHAnsi"/>
          <w:sz w:val="24"/>
          <w:szCs w:val="24"/>
        </w:rPr>
        <w:t xml:space="preserve">they include: </w:t>
      </w:r>
    </w:p>
    <w:p w14:paraId="40645D36" w14:textId="77777777" w:rsidR="00B45D95" w:rsidRPr="00C86A66" w:rsidRDefault="00B45D95" w:rsidP="00C86A66">
      <w:pPr>
        <w:pStyle w:val="ListParagraph"/>
        <w:numPr>
          <w:ilvl w:val="0"/>
          <w:numId w:val="7"/>
        </w:numPr>
        <w:shd w:val="clear" w:color="auto" w:fill="FFFFFF"/>
        <w:spacing w:after="60" w:line="240" w:lineRule="auto"/>
        <w:rPr>
          <w:rFonts w:eastAsia="Times New Roman" w:cstheme="minorHAnsi"/>
          <w:color w:val="202124"/>
          <w:sz w:val="24"/>
          <w:szCs w:val="24"/>
        </w:rPr>
      </w:pPr>
      <w:r w:rsidRPr="00C86A66">
        <w:rPr>
          <w:rFonts w:eastAsia="Times New Roman" w:cstheme="minorHAnsi"/>
          <w:color w:val="202124"/>
          <w:sz w:val="24"/>
          <w:szCs w:val="24"/>
        </w:rPr>
        <w:t>Engage the person in one-on-one conversation in a quiet space that has minimal distractions.</w:t>
      </w:r>
    </w:p>
    <w:p w14:paraId="6558A480" w14:textId="77777777" w:rsidR="00B45D95" w:rsidRPr="00C86A66" w:rsidRDefault="00B45D95" w:rsidP="00C86A66">
      <w:pPr>
        <w:pStyle w:val="ListParagraph"/>
        <w:numPr>
          <w:ilvl w:val="0"/>
          <w:numId w:val="7"/>
        </w:numPr>
        <w:shd w:val="clear" w:color="auto" w:fill="FFFFFF"/>
        <w:spacing w:after="60" w:line="240" w:lineRule="auto"/>
        <w:rPr>
          <w:rFonts w:eastAsia="Times New Roman" w:cstheme="minorHAnsi"/>
          <w:color w:val="202124"/>
          <w:sz w:val="24"/>
          <w:szCs w:val="24"/>
        </w:rPr>
      </w:pPr>
      <w:r w:rsidRPr="00C86A66">
        <w:rPr>
          <w:rFonts w:eastAsia="Times New Roman" w:cstheme="minorHAnsi"/>
          <w:color w:val="202124"/>
          <w:sz w:val="24"/>
          <w:szCs w:val="24"/>
        </w:rPr>
        <w:t>Speak slowly and clearly.</w:t>
      </w:r>
    </w:p>
    <w:p w14:paraId="14ABB212" w14:textId="77777777" w:rsidR="00B45D95" w:rsidRPr="00C86A66" w:rsidRDefault="00B45D95" w:rsidP="00C86A66">
      <w:pPr>
        <w:pStyle w:val="ListParagraph"/>
        <w:numPr>
          <w:ilvl w:val="0"/>
          <w:numId w:val="7"/>
        </w:numPr>
        <w:shd w:val="clear" w:color="auto" w:fill="FFFFFF"/>
        <w:spacing w:after="60" w:line="240" w:lineRule="auto"/>
        <w:rPr>
          <w:rFonts w:eastAsia="Times New Roman" w:cstheme="minorHAnsi"/>
          <w:color w:val="202124"/>
          <w:sz w:val="24"/>
          <w:szCs w:val="24"/>
        </w:rPr>
      </w:pPr>
      <w:r w:rsidRPr="00C86A66">
        <w:rPr>
          <w:rFonts w:eastAsia="Times New Roman" w:cstheme="minorHAnsi"/>
          <w:color w:val="202124"/>
          <w:sz w:val="24"/>
          <w:szCs w:val="24"/>
        </w:rPr>
        <w:t>Maintain eye contact. ...</w:t>
      </w:r>
    </w:p>
    <w:p w14:paraId="19DB21C7" w14:textId="77777777" w:rsidR="00B45D95" w:rsidRPr="00C86A66" w:rsidRDefault="00B45D95" w:rsidP="00C86A66">
      <w:pPr>
        <w:pStyle w:val="ListParagraph"/>
        <w:numPr>
          <w:ilvl w:val="0"/>
          <w:numId w:val="7"/>
        </w:numPr>
        <w:shd w:val="clear" w:color="auto" w:fill="FFFFFF"/>
        <w:spacing w:after="60" w:line="240" w:lineRule="auto"/>
        <w:rPr>
          <w:rFonts w:eastAsia="Times New Roman" w:cstheme="minorHAnsi"/>
          <w:color w:val="202124"/>
          <w:sz w:val="24"/>
          <w:szCs w:val="24"/>
        </w:rPr>
      </w:pPr>
      <w:r w:rsidRPr="00C86A66">
        <w:rPr>
          <w:rFonts w:eastAsia="Times New Roman" w:cstheme="minorHAnsi"/>
          <w:color w:val="202124"/>
          <w:sz w:val="24"/>
          <w:szCs w:val="24"/>
        </w:rPr>
        <w:t>Give the person plenty of time to respond so he or she can think about what to say.</w:t>
      </w:r>
    </w:p>
    <w:p w14:paraId="06AB7C7B" w14:textId="77777777" w:rsidR="00B45D95" w:rsidRPr="00C86A66" w:rsidRDefault="00B45D95" w:rsidP="00C86A66">
      <w:pPr>
        <w:pStyle w:val="ListParagraph"/>
        <w:numPr>
          <w:ilvl w:val="0"/>
          <w:numId w:val="7"/>
        </w:numPr>
        <w:shd w:val="clear" w:color="auto" w:fill="FFFFFF"/>
        <w:spacing w:after="60" w:line="240" w:lineRule="auto"/>
        <w:rPr>
          <w:rFonts w:eastAsia="Times New Roman" w:cstheme="minorHAnsi"/>
          <w:color w:val="202124"/>
          <w:sz w:val="24"/>
          <w:szCs w:val="24"/>
        </w:rPr>
      </w:pPr>
      <w:r w:rsidRPr="00C86A66">
        <w:rPr>
          <w:rFonts w:eastAsia="Times New Roman" w:cstheme="minorHAnsi"/>
          <w:color w:val="202124"/>
          <w:sz w:val="24"/>
          <w:szCs w:val="24"/>
        </w:rPr>
        <w:t>Be patient and offer reassurance. ...</w:t>
      </w:r>
    </w:p>
    <w:p w14:paraId="7BD31C19" w14:textId="77777777" w:rsidR="00B45D95" w:rsidRDefault="009D2AC0" w:rsidP="00C86A66">
      <w:pPr>
        <w:pStyle w:val="ListParagraph"/>
        <w:numPr>
          <w:ilvl w:val="0"/>
          <w:numId w:val="7"/>
        </w:numPr>
        <w:shd w:val="clear" w:color="auto" w:fill="FFFFFF"/>
        <w:spacing w:after="60" w:line="240" w:lineRule="auto"/>
        <w:rPr>
          <w:rFonts w:eastAsia="Times New Roman" w:cstheme="minorHAnsi"/>
          <w:color w:val="202124"/>
          <w:sz w:val="24"/>
          <w:szCs w:val="24"/>
        </w:rPr>
      </w:pPr>
      <w:r>
        <w:rPr>
          <w:rFonts w:eastAsia="Times New Roman" w:cstheme="minorHAnsi"/>
          <w:color w:val="202124"/>
          <w:sz w:val="24"/>
          <w:szCs w:val="24"/>
        </w:rPr>
        <w:t>Ask one question at a time (Alz.org)</w:t>
      </w:r>
    </w:p>
    <w:p w14:paraId="6CE9EBBB" w14:textId="77777777" w:rsidR="009C7B4D" w:rsidRDefault="009C7B4D" w:rsidP="009C7B4D">
      <w:pPr>
        <w:shd w:val="clear" w:color="auto" w:fill="FFFFFF"/>
        <w:spacing w:after="60" w:line="240" w:lineRule="auto"/>
        <w:rPr>
          <w:rFonts w:eastAsia="Times New Roman" w:cstheme="minorHAnsi"/>
          <w:color w:val="202124"/>
          <w:sz w:val="24"/>
          <w:szCs w:val="24"/>
        </w:rPr>
      </w:pPr>
    </w:p>
    <w:p w14:paraId="6505607D" w14:textId="77777777" w:rsidR="009C7B4D" w:rsidRDefault="009C7B4D" w:rsidP="009C7B4D">
      <w:pPr>
        <w:shd w:val="clear" w:color="auto" w:fill="FFFFFF"/>
        <w:spacing w:after="60" w:line="240" w:lineRule="auto"/>
        <w:rPr>
          <w:rFonts w:cstheme="minorHAnsi"/>
          <w:sz w:val="24"/>
          <w:szCs w:val="24"/>
        </w:rPr>
      </w:pPr>
      <w:r>
        <w:rPr>
          <w:rFonts w:eastAsia="Times New Roman" w:cstheme="minorHAnsi"/>
          <w:color w:val="202124"/>
          <w:sz w:val="24"/>
          <w:szCs w:val="24"/>
        </w:rPr>
        <w:t xml:space="preserve">Because the </w:t>
      </w:r>
      <w:r w:rsidRPr="006963BD">
        <w:rPr>
          <w:sz w:val="24"/>
          <w:szCs w:val="24"/>
        </w:rPr>
        <w:t xml:space="preserve">Thoughtful Engagement Specialist </w:t>
      </w:r>
      <w:r w:rsidRPr="006963BD">
        <w:rPr>
          <w:rFonts w:cstheme="minorHAnsi"/>
          <w:sz w:val="24"/>
          <w:szCs w:val="24"/>
        </w:rPr>
        <w:t>®</w:t>
      </w:r>
      <w:r>
        <w:rPr>
          <w:rFonts w:cstheme="minorHAnsi"/>
          <w:sz w:val="24"/>
          <w:szCs w:val="24"/>
        </w:rPr>
        <w:t xml:space="preserve"> gave the client the necessary time to adjust to this new relationship, the relationship grew from one that was uncomfortable to one that brought joy and trust.  </w:t>
      </w:r>
    </w:p>
    <w:p w14:paraId="1A53897C" w14:textId="77777777" w:rsidR="005869B1" w:rsidRPr="009C7B4D" w:rsidRDefault="005869B1" w:rsidP="009C7B4D">
      <w:pPr>
        <w:shd w:val="clear" w:color="auto" w:fill="FFFFFF"/>
        <w:spacing w:after="60" w:line="240" w:lineRule="auto"/>
        <w:rPr>
          <w:rFonts w:eastAsia="Times New Roman" w:cstheme="minorHAnsi"/>
          <w:color w:val="202124"/>
          <w:sz w:val="24"/>
          <w:szCs w:val="24"/>
        </w:rPr>
      </w:pPr>
    </w:p>
    <w:p w14:paraId="11CE0702" w14:textId="77777777" w:rsidR="00250578" w:rsidRPr="00E93656" w:rsidRDefault="00477752" w:rsidP="00477752">
      <w:pPr>
        <w:jc w:val="center"/>
        <w:rPr>
          <w:rFonts w:cstheme="minorHAnsi"/>
          <w:sz w:val="24"/>
          <w:szCs w:val="24"/>
        </w:rPr>
      </w:pPr>
      <w:r>
        <w:rPr>
          <w:noProof/>
        </w:rPr>
        <w:drawing>
          <wp:inline distT="0" distB="0" distL="0" distR="0" wp14:anchorId="7201A602" wp14:editId="444A942F">
            <wp:extent cx="3579684" cy="2374900"/>
            <wp:effectExtent l="0" t="0" r="1905" b="6350"/>
            <wp:docPr id="4" name="Picture 4" descr="Quotes Smell The Flowers. Quotes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otes Smell The Flowers. Quotes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6684" cy="2386178"/>
                    </a:xfrm>
                    <a:prstGeom prst="rect">
                      <a:avLst/>
                    </a:prstGeom>
                    <a:noFill/>
                    <a:ln>
                      <a:noFill/>
                    </a:ln>
                  </pic:spPr>
                </pic:pic>
              </a:graphicData>
            </a:graphic>
          </wp:inline>
        </w:drawing>
      </w:r>
    </w:p>
    <w:p w14:paraId="27EF8A9B" w14:textId="77777777" w:rsidR="00C66550" w:rsidRPr="00D2003A" w:rsidRDefault="00C66550" w:rsidP="00C66550">
      <w:pPr>
        <w:jc w:val="center"/>
        <w:rPr>
          <w:sz w:val="24"/>
          <w:szCs w:val="24"/>
        </w:rPr>
      </w:pPr>
      <w:r w:rsidRPr="00D2003A">
        <w:rPr>
          <w:sz w:val="24"/>
          <w:szCs w:val="24"/>
        </w:rPr>
        <w:t>Resources</w:t>
      </w:r>
    </w:p>
    <w:p w14:paraId="2BA51C99" w14:textId="77777777" w:rsidR="00A21E88" w:rsidRPr="00D2003A" w:rsidRDefault="00A21E88" w:rsidP="00C66550">
      <w:pPr>
        <w:jc w:val="center"/>
        <w:rPr>
          <w:sz w:val="24"/>
          <w:szCs w:val="24"/>
        </w:rPr>
      </w:pPr>
      <w:r w:rsidRPr="00D2003A">
        <w:rPr>
          <w:sz w:val="24"/>
          <w:szCs w:val="24"/>
        </w:rPr>
        <w:t>Resources are offered for further reading</w:t>
      </w:r>
    </w:p>
    <w:p w14:paraId="7846ED93" w14:textId="77777777" w:rsidR="00C66550" w:rsidRPr="00D2003A" w:rsidRDefault="00036699" w:rsidP="00C66550">
      <w:pPr>
        <w:rPr>
          <w:sz w:val="24"/>
          <w:szCs w:val="24"/>
        </w:rPr>
      </w:pPr>
      <w:hyperlink r:id="rId8" w:history="1">
        <w:r w:rsidR="00C46C50" w:rsidRPr="00D2003A">
          <w:rPr>
            <w:rStyle w:val="Hyperlink"/>
            <w:sz w:val="24"/>
            <w:szCs w:val="24"/>
          </w:rPr>
          <w:t>https://www.psychologytoday.com/us/blog/partnering-in-mental-health/201408/bren-brown-empathy-vs-sympathy-0</w:t>
        </w:r>
      </w:hyperlink>
    </w:p>
    <w:p w14:paraId="541511FE" w14:textId="77777777" w:rsidR="00C46C50" w:rsidRPr="00D2003A" w:rsidRDefault="00036699" w:rsidP="00C66550">
      <w:pPr>
        <w:rPr>
          <w:sz w:val="24"/>
          <w:szCs w:val="24"/>
        </w:rPr>
      </w:pPr>
      <w:hyperlink r:id="rId9" w:history="1">
        <w:r w:rsidR="00C46C50" w:rsidRPr="00D2003A">
          <w:rPr>
            <w:rStyle w:val="Hyperlink"/>
            <w:sz w:val="24"/>
            <w:szCs w:val="24"/>
          </w:rPr>
          <w:t>https://www.alz.org/help-support/caregiving/daily-care/communications</w:t>
        </w:r>
      </w:hyperlink>
    </w:p>
    <w:p w14:paraId="47602533" w14:textId="77777777" w:rsidR="00C46C50" w:rsidRPr="00D2003A" w:rsidRDefault="00036699" w:rsidP="00C66550">
      <w:pPr>
        <w:rPr>
          <w:sz w:val="24"/>
          <w:szCs w:val="24"/>
        </w:rPr>
      </w:pPr>
      <w:hyperlink r:id="rId10" w:history="1">
        <w:r w:rsidR="00A21E88" w:rsidRPr="00D2003A">
          <w:rPr>
            <w:rStyle w:val="Hyperlink"/>
            <w:sz w:val="24"/>
            <w:szCs w:val="24"/>
          </w:rPr>
          <w:t>https://brenebrown.com/videos/rsa-short-empathy/</w:t>
        </w:r>
      </w:hyperlink>
    </w:p>
    <w:p w14:paraId="4E7FECE5" w14:textId="77777777" w:rsidR="00A21E88" w:rsidRPr="00D2003A" w:rsidRDefault="00036699" w:rsidP="00C66550">
      <w:pPr>
        <w:rPr>
          <w:sz w:val="24"/>
          <w:szCs w:val="24"/>
        </w:rPr>
      </w:pPr>
      <w:hyperlink r:id="rId11" w:history="1">
        <w:r w:rsidR="00E1184B" w:rsidRPr="00D2003A">
          <w:rPr>
            <w:rStyle w:val="Hyperlink"/>
            <w:sz w:val="24"/>
            <w:szCs w:val="24"/>
          </w:rPr>
          <w:t>https://www.ncbi.nlm.nih.gov/pmc/articles/PMC3291125/</w:t>
        </w:r>
      </w:hyperlink>
      <w:r w:rsidR="00A1628F">
        <w:rPr>
          <w:sz w:val="24"/>
          <w:szCs w:val="24"/>
        </w:rPr>
        <w:t xml:space="preserve"> (Social Relationships:  Better with Age)</w:t>
      </w:r>
    </w:p>
    <w:p w14:paraId="1CAFDF17" w14:textId="77777777" w:rsidR="00395BE9" w:rsidRPr="00D2003A" w:rsidRDefault="00395BE9" w:rsidP="00C66550">
      <w:pPr>
        <w:rPr>
          <w:sz w:val="24"/>
          <w:szCs w:val="24"/>
        </w:rPr>
      </w:pPr>
    </w:p>
    <w:p w14:paraId="220E3D4A" w14:textId="77777777" w:rsidR="00E1184B" w:rsidRDefault="00A73DA9" w:rsidP="00EF514F">
      <w:pPr>
        <w:jc w:val="center"/>
        <w:rPr>
          <w:sz w:val="24"/>
          <w:szCs w:val="24"/>
        </w:rPr>
      </w:pPr>
      <w:r>
        <w:rPr>
          <w:sz w:val="24"/>
          <w:szCs w:val="24"/>
        </w:rPr>
        <w:br w:type="page"/>
      </w:r>
      <w:r w:rsidR="00395BE9" w:rsidRPr="00D2003A">
        <w:rPr>
          <w:sz w:val="24"/>
          <w:szCs w:val="24"/>
        </w:rPr>
        <w:lastRenderedPageBreak/>
        <w:t>References</w:t>
      </w:r>
    </w:p>
    <w:p w14:paraId="175201BF" w14:textId="77777777" w:rsidR="0055455B" w:rsidRDefault="0055455B" w:rsidP="0055455B">
      <w:pPr>
        <w:rPr>
          <w:sz w:val="24"/>
          <w:szCs w:val="24"/>
        </w:rPr>
      </w:pPr>
      <w:r>
        <w:rPr>
          <w:sz w:val="24"/>
          <w:szCs w:val="24"/>
        </w:rPr>
        <w:t xml:space="preserve">Alzheimer’s Association. (n.d.).  Communication and Alzheimer’s. Retrieved from </w:t>
      </w:r>
      <w:r>
        <w:rPr>
          <w:sz w:val="24"/>
          <w:szCs w:val="24"/>
        </w:rPr>
        <w:tab/>
      </w:r>
      <w:r w:rsidRPr="0055455B">
        <w:rPr>
          <w:sz w:val="24"/>
          <w:szCs w:val="24"/>
        </w:rPr>
        <w:t>https://www.alz.org/help-support/caregiving/daily-care/communications</w:t>
      </w:r>
    </w:p>
    <w:p w14:paraId="4019C943" w14:textId="77777777" w:rsidR="00A1628F" w:rsidRDefault="009D5822" w:rsidP="00A1628F">
      <w:pPr>
        <w:rPr>
          <w:sz w:val="24"/>
          <w:szCs w:val="24"/>
        </w:rPr>
      </w:pPr>
      <w:r>
        <w:rPr>
          <w:sz w:val="24"/>
          <w:szCs w:val="24"/>
        </w:rPr>
        <w:t>Brown, B. (200</w:t>
      </w:r>
      <w:r w:rsidR="003837E5">
        <w:rPr>
          <w:sz w:val="24"/>
          <w:szCs w:val="24"/>
        </w:rPr>
        <w:t>8</w:t>
      </w:r>
      <w:r>
        <w:rPr>
          <w:sz w:val="24"/>
          <w:szCs w:val="24"/>
        </w:rPr>
        <w:t>).</w:t>
      </w:r>
      <w:r w:rsidRPr="009D5822">
        <w:rPr>
          <w:rFonts w:cstheme="minorHAnsi"/>
          <w:sz w:val="24"/>
          <w:szCs w:val="24"/>
          <w:shd w:val="clear" w:color="auto" w:fill="FFFFFF"/>
        </w:rPr>
        <w:t xml:space="preserve"> I </w:t>
      </w:r>
      <w:r w:rsidRPr="009D5822">
        <w:rPr>
          <w:rFonts w:cstheme="minorHAnsi"/>
          <w:bCs/>
          <w:sz w:val="24"/>
          <w:szCs w:val="24"/>
          <w:shd w:val="clear" w:color="auto" w:fill="FFFFFF"/>
        </w:rPr>
        <w:t>thought it was just me</w:t>
      </w:r>
      <w:r w:rsidRPr="009D5822">
        <w:rPr>
          <w:rFonts w:cstheme="minorHAnsi"/>
          <w:sz w:val="24"/>
          <w:szCs w:val="24"/>
          <w:shd w:val="clear" w:color="auto" w:fill="FFFFFF"/>
        </w:rPr>
        <w:t> (</w:t>
      </w:r>
      <w:r w:rsidRPr="009D5822">
        <w:rPr>
          <w:rFonts w:cstheme="minorHAnsi"/>
          <w:bCs/>
          <w:sz w:val="24"/>
          <w:szCs w:val="24"/>
          <w:shd w:val="clear" w:color="auto" w:fill="FFFFFF"/>
        </w:rPr>
        <w:t>but</w:t>
      </w:r>
      <w:r w:rsidRPr="009D5822">
        <w:rPr>
          <w:rFonts w:cstheme="minorHAnsi"/>
          <w:sz w:val="24"/>
          <w:szCs w:val="24"/>
          <w:shd w:val="clear" w:color="auto" w:fill="FFFFFF"/>
        </w:rPr>
        <w:t> it isn't): Telling the truth about perfectionism,</w:t>
      </w:r>
      <w:r w:rsidR="00A716FA">
        <w:rPr>
          <w:rFonts w:cstheme="minorHAnsi"/>
          <w:sz w:val="24"/>
          <w:szCs w:val="24"/>
          <w:shd w:val="clear" w:color="auto" w:fill="FFFFFF"/>
        </w:rPr>
        <w:tab/>
      </w:r>
      <w:r w:rsidR="00A716FA">
        <w:rPr>
          <w:rFonts w:cstheme="minorHAnsi"/>
          <w:sz w:val="24"/>
          <w:szCs w:val="24"/>
          <w:shd w:val="clear" w:color="auto" w:fill="FFFFFF"/>
        </w:rPr>
        <w:tab/>
      </w:r>
      <w:r w:rsidRPr="009D5822">
        <w:rPr>
          <w:rFonts w:cstheme="minorHAnsi"/>
          <w:sz w:val="24"/>
          <w:szCs w:val="24"/>
          <w:shd w:val="clear" w:color="auto" w:fill="FFFFFF"/>
        </w:rPr>
        <w:t xml:space="preserve"> inadequacy, and power. New York: Gotham </w:t>
      </w:r>
      <w:r w:rsidRPr="009D5822">
        <w:rPr>
          <w:rFonts w:cstheme="minorHAnsi"/>
          <w:bCs/>
          <w:sz w:val="24"/>
          <w:szCs w:val="24"/>
          <w:shd w:val="clear" w:color="auto" w:fill="FFFFFF"/>
        </w:rPr>
        <w:t>Books</w:t>
      </w:r>
      <w:r w:rsidRPr="009D5822">
        <w:rPr>
          <w:rFonts w:cstheme="minorHAnsi"/>
          <w:sz w:val="24"/>
          <w:szCs w:val="24"/>
          <w:shd w:val="clear" w:color="auto" w:fill="FFFFFF"/>
        </w:rPr>
        <w:t>.</w:t>
      </w:r>
    </w:p>
    <w:p w14:paraId="384AF71E" w14:textId="77777777" w:rsidR="00D2003A" w:rsidRDefault="00373E5D" w:rsidP="00D2003A">
      <w:pPr>
        <w:rPr>
          <w:sz w:val="24"/>
          <w:szCs w:val="24"/>
        </w:rPr>
      </w:pPr>
      <w:r>
        <w:rPr>
          <w:sz w:val="24"/>
          <w:szCs w:val="24"/>
        </w:rPr>
        <w:t>Buettner, L., Fitzsimmons, S. (2009) N.E.S.T. Approach, Dementia Practice Guidelines for</w:t>
      </w:r>
      <w:r>
        <w:rPr>
          <w:sz w:val="24"/>
          <w:szCs w:val="24"/>
        </w:rPr>
        <w:tab/>
      </w:r>
      <w:r>
        <w:rPr>
          <w:sz w:val="24"/>
          <w:szCs w:val="24"/>
        </w:rPr>
        <w:tab/>
      </w:r>
      <w:r>
        <w:rPr>
          <w:sz w:val="24"/>
          <w:szCs w:val="24"/>
        </w:rPr>
        <w:tab/>
        <w:t xml:space="preserve"> Disturbing Behaviors. </w:t>
      </w:r>
      <w:r w:rsidR="001F2208">
        <w:rPr>
          <w:sz w:val="24"/>
          <w:szCs w:val="24"/>
        </w:rPr>
        <w:t xml:space="preserve">State College, </w:t>
      </w:r>
      <w:r>
        <w:rPr>
          <w:sz w:val="24"/>
          <w:szCs w:val="24"/>
        </w:rPr>
        <w:t>PA:</w:t>
      </w:r>
      <w:r w:rsidR="009D5822">
        <w:rPr>
          <w:sz w:val="24"/>
          <w:szCs w:val="24"/>
        </w:rPr>
        <w:t xml:space="preserve"> </w:t>
      </w:r>
      <w:r>
        <w:rPr>
          <w:sz w:val="24"/>
          <w:szCs w:val="24"/>
        </w:rPr>
        <w:t xml:space="preserve">Venture Publishing. </w:t>
      </w:r>
    </w:p>
    <w:p w14:paraId="2EF70354" w14:textId="77777777" w:rsidR="00717C17" w:rsidRDefault="00717C17" w:rsidP="00717C17">
      <w:pPr>
        <w:spacing w:after="0" w:line="240" w:lineRule="auto"/>
        <w:rPr>
          <w:sz w:val="24"/>
          <w:szCs w:val="24"/>
        </w:rPr>
      </w:pPr>
      <w:r>
        <w:rPr>
          <w:sz w:val="24"/>
          <w:szCs w:val="24"/>
        </w:rPr>
        <w:t xml:space="preserve">McLeod, S. (2019). Person Centered Therapy. Retrieved from </w:t>
      </w:r>
    </w:p>
    <w:p w14:paraId="554787A7" w14:textId="77777777" w:rsidR="00717C17" w:rsidRDefault="00717C17" w:rsidP="00717C17">
      <w:pPr>
        <w:spacing w:after="0" w:line="240" w:lineRule="auto"/>
        <w:rPr>
          <w:sz w:val="24"/>
          <w:szCs w:val="24"/>
        </w:rPr>
      </w:pPr>
      <w:r>
        <w:rPr>
          <w:sz w:val="24"/>
          <w:szCs w:val="24"/>
        </w:rPr>
        <w:tab/>
      </w:r>
      <w:hyperlink r:id="rId12" w:history="1">
        <w:r w:rsidRPr="000F384B">
          <w:rPr>
            <w:rStyle w:val="Hyperlink"/>
            <w:sz w:val="24"/>
            <w:szCs w:val="24"/>
          </w:rPr>
          <w:t>https://www.simplypsychology.org/client-centred-therapy.html</w:t>
        </w:r>
      </w:hyperlink>
    </w:p>
    <w:p w14:paraId="342BFF37" w14:textId="77777777" w:rsidR="00717C17" w:rsidRDefault="00717C17" w:rsidP="00717C17">
      <w:pPr>
        <w:spacing w:after="0" w:line="240" w:lineRule="auto"/>
        <w:rPr>
          <w:sz w:val="24"/>
          <w:szCs w:val="24"/>
        </w:rPr>
      </w:pPr>
      <w:r>
        <w:rPr>
          <w:sz w:val="24"/>
          <w:szCs w:val="24"/>
        </w:rPr>
        <w:tab/>
      </w:r>
    </w:p>
    <w:p w14:paraId="16EAA9E3" w14:textId="77777777" w:rsidR="002E397F" w:rsidRPr="00D2003A" w:rsidRDefault="002E397F" w:rsidP="00D2003A">
      <w:pPr>
        <w:rPr>
          <w:sz w:val="24"/>
          <w:szCs w:val="24"/>
        </w:rPr>
      </w:pPr>
      <w:r>
        <w:rPr>
          <w:sz w:val="24"/>
          <w:szCs w:val="24"/>
        </w:rPr>
        <w:t xml:space="preserve">Thieda, K. (2014).  Brene Brown on Sympathy vs Empathy. Retrieved from </w:t>
      </w:r>
      <w:r>
        <w:rPr>
          <w:sz w:val="24"/>
          <w:szCs w:val="24"/>
        </w:rPr>
        <w:tab/>
      </w:r>
      <w:hyperlink r:id="rId13" w:history="1">
        <w:r w:rsidRPr="000F384B">
          <w:rPr>
            <w:rStyle w:val="Hyperlink"/>
            <w:sz w:val="24"/>
            <w:szCs w:val="24"/>
          </w:rPr>
          <w:t>https://www.psychologytoday.com/us/blog/partnering-in-mental-health/201408/bren-</w:t>
        </w:r>
      </w:hyperlink>
      <w:r>
        <w:rPr>
          <w:sz w:val="24"/>
          <w:szCs w:val="24"/>
        </w:rPr>
        <w:tab/>
      </w:r>
      <w:r w:rsidRPr="002E397F">
        <w:rPr>
          <w:sz w:val="24"/>
          <w:szCs w:val="24"/>
        </w:rPr>
        <w:t>brown-empathy-vs-sympathy-0</w:t>
      </w:r>
    </w:p>
    <w:p w14:paraId="43843930" w14:textId="77777777" w:rsidR="00395BE9" w:rsidRPr="00D2003A" w:rsidRDefault="00395BE9" w:rsidP="00395BE9">
      <w:pPr>
        <w:rPr>
          <w:sz w:val="24"/>
          <w:szCs w:val="24"/>
        </w:rPr>
      </w:pPr>
    </w:p>
    <w:p w14:paraId="4292CA78" w14:textId="77777777" w:rsidR="00395BE9" w:rsidRDefault="00395BE9" w:rsidP="00E1184B">
      <w:pPr>
        <w:jc w:val="center"/>
      </w:pPr>
    </w:p>
    <w:sectPr w:rsidR="00395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5782"/>
    <w:multiLevelType w:val="hybridMultilevel"/>
    <w:tmpl w:val="EF32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82E0B"/>
    <w:multiLevelType w:val="multilevel"/>
    <w:tmpl w:val="2894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31C59"/>
    <w:multiLevelType w:val="multilevel"/>
    <w:tmpl w:val="4F90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A47A5"/>
    <w:multiLevelType w:val="multilevel"/>
    <w:tmpl w:val="9C70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AD3617"/>
    <w:multiLevelType w:val="multilevel"/>
    <w:tmpl w:val="A1B2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C3A33"/>
    <w:multiLevelType w:val="hybridMultilevel"/>
    <w:tmpl w:val="CA42FAD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 w15:restartNumberingAfterBreak="0">
    <w:nsid w:val="771E0343"/>
    <w:multiLevelType w:val="multilevel"/>
    <w:tmpl w:val="BDE47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83"/>
    <w:rsid w:val="00036699"/>
    <w:rsid w:val="00063BB1"/>
    <w:rsid w:val="000F674E"/>
    <w:rsid w:val="00141079"/>
    <w:rsid w:val="001444C3"/>
    <w:rsid w:val="001E1E3A"/>
    <w:rsid w:val="001F2208"/>
    <w:rsid w:val="00250578"/>
    <w:rsid w:val="002605FD"/>
    <w:rsid w:val="00280679"/>
    <w:rsid w:val="002820AD"/>
    <w:rsid w:val="002E397F"/>
    <w:rsid w:val="002E7BB5"/>
    <w:rsid w:val="0034680C"/>
    <w:rsid w:val="0036798E"/>
    <w:rsid w:val="00373E5D"/>
    <w:rsid w:val="003837E5"/>
    <w:rsid w:val="00384E96"/>
    <w:rsid w:val="0038580F"/>
    <w:rsid w:val="00395BE9"/>
    <w:rsid w:val="003B498A"/>
    <w:rsid w:val="003D09F9"/>
    <w:rsid w:val="003D7E27"/>
    <w:rsid w:val="00405B83"/>
    <w:rsid w:val="00427AC6"/>
    <w:rsid w:val="00457F57"/>
    <w:rsid w:val="00477752"/>
    <w:rsid w:val="00501818"/>
    <w:rsid w:val="0055455B"/>
    <w:rsid w:val="00577A7F"/>
    <w:rsid w:val="00584328"/>
    <w:rsid w:val="005869B1"/>
    <w:rsid w:val="005B4B75"/>
    <w:rsid w:val="005C70E4"/>
    <w:rsid w:val="005D6737"/>
    <w:rsid w:val="005E0660"/>
    <w:rsid w:val="00652425"/>
    <w:rsid w:val="006963BD"/>
    <w:rsid w:val="006A5BC3"/>
    <w:rsid w:val="006F58E2"/>
    <w:rsid w:val="00717C17"/>
    <w:rsid w:val="007271D2"/>
    <w:rsid w:val="00743F05"/>
    <w:rsid w:val="00746AC5"/>
    <w:rsid w:val="00801174"/>
    <w:rsid w:val="008D335B"/>
    <w:rsid w:val="008F1364"/>
    <w:rsid w:val="00901D92"/>
    <w:rsid w:val="00993EAD"/>
    <w:rsid w:val="009A2AFE"/>
    <w:rsid w:val="009C7B4D"/>
    <w:rsid w:val="009D2AC0"/>
    <w:rsid w:val="009D5822"/>
    <w:rsid w:val="009D73A4"/>
    <w:rsid w:val="00A1628F"/>
    <w:rsid w:val="00A21E88"/>
    <w:rsid w:val="00A65E71"/>
    <w:rsid w:val="00A716FA"/>
    <w:rsid w:val="00A73DA9"/>
    <w:rsid w:val="00A766AD"/>
    <w:rsid w:val="00A81134"/>
    <w:rsid w:val="00A81913"/>
    <w:rsid w:val="00A90CFD"/>
    <w:rsid w:val="00AD4994"/>
    <w:rsid w:val="00B45D95"/>
    <w:rsid w:val="00C15612"/>
    <w:rsid w:val="00C46C50"/>
    <w:rsid w:val="00C66550"/>
    <w:rsid w:val="00C721EF"/>
    <w:rsid w:val="00C86A66"/>
    <w:rsid w:val="00C9375F"/>
    <w:rsid w:val="00CF2D87"/>
    <w:rsid w:val="00D2003A"/>
    <w:rsid w:val="00D71633"/>
    <w:rsid w:val="00E1184B"/>
    <w:rsid w:val="00E23283"/>
    <w:rsid w:val="00E44008"/>
    <w:rsid w:val="00E74E1F"/>
    <w:rsid w:val="00E93656"/>
    <w:rsid w:val="00E97FB0"/>
    <w:rsid w:val="00EA545A"/>
    <w:rsid w:val="00EB2997"/>
    <w:rsid w:val="00EE331B"/>
    <w:rsid w:val="00EE69EB"/>
    <w:rsid w:val="00EF514F"/>
    <w:rsid w:val="00EF685B"/>
    <w:rsid w:val="00F4376F"/>
    <w:rsid w:val="00F678D6"/>
    <w:rsid w:val="00F832F5"/>
    <w:rsid w:val="00FC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8D75"/>
  <w15:chartTrackingRefBased/>
  <w15:docId w15:val="{60D18626-5461-4726-9527-47B68449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1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71D2"/>
    <w:rPr>
      <w:i/>
      <w:iCs/>
    </w:rPr>
  </w:style>
  <w:style w:type="paragraph" w:styleId="ListParagraph">
    <w:name w:val="List Paragraph"/>
    <w:basedOn w:val="Normal"/>
    <w:uiPriority w:val="34"/>
    <w:qFormat/>
    <w:rsid w:val="00FC1D08"/>
    <w:pPr>
      <w:ind w:left="720"/>
      <w:contextualSpacing/>
    </w:pPr>
  </w:style>
  <w:style w:type="character" w:styleId="Hyperlink">
    <w:name w:val="Hyperlink"/>
    <w:basedOn w:val="DefaultParagraphFont"/>
    <w:uiPriority w:val="99"/>
    <w:unhideWhenUsed/>
    <w:rsid w:val="00C46C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284">
      <w:bodyDiv w:val="1"/>
      <w:marLeft w:val="0"/>
      <w:marRight w:val="0"/>
      <w:marTop w:val="0"/>
      <w:marBottom w:val="0"/>
      <w:divBdr>
        <w:top w:val="none" w:sz="0" w:space="0" w:color="auto"/>
        <w:left w:val="none" w:sz="0" w:space="0" w:color="auto"/>
        <w:bottom w:val="none" w:sz="0" w:space="0" w:color="auto"/>
        <w:right w:val="none" w:sz="0" w:space="0" w:color="auto"/>
      </w:divBdr>
    </w:div>
    <w:div w:id="1570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log/partnering-in-mental-health/201408/bren-brown-empathy-vs-sympathy-0" TargetMode="External"/><Relationship Id="rId13" Type="http://schemas.openxmlformats.org/officeDocument/2006/relationships/hyperlink" Target="https://www.psychologytoday.com/us/blog/partnering-in-mental-health/201408/bren-"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simplypsychology.org/client-centred-therap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cbi.nlm.nih.gov/pmc/articles/PMC3291125/"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renebrown.com/videos/rsa-short-empathy/" TargetMode="External"/><Relationship Id="rId4" Type="http://schemas.openxmlformats.org/officeDocument/2006/relationships/webSettings" Target="webSettings.xml"/><Relationship Id="rId9" Type="http://schemas.openxmlformats.org/officeDocument/2006/relationships/hyperlink" Target="https://www.alz.org/help-support/caregiving/daily-care/communic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 Bean</dc:creator>
  <cp:keywords/>
  <dc:description/>
  <cp:lastModifiedBy>Lauren</cp:lastModifiedBy>
  <cp:revision>2</cp:revision>
  <dcterms:created xsi:type="dcterms:W3CDTF">2021-06-01T19:22:00Z</dcterms:created>
  <dcterms:modified xsi:type="dcterms:W3CDTF">2021-06-01T19:22:00Z</dcterms:modified>
</cp:coreProperties>
</file>